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3366"/>
          <w:sz w:val="24"/>
          <w:szCs w:val="24"/>
          <w:lang w:eastAsia="ru-RU"/>
        </w:rPr>
        <w:t>Технологическое присоединение</w:t>
      </w:r>
      <w:r w:rsidRPr="00D6099B">
        <w:rPr>
          <w:rFonts w:ascii="Times New Roman" w:eastAsia="Times New Roman" w:hAnsi="Times New Roman" w:cs="Times New Roman"/>
          <w:sz w:val="24"/>
          <w:szCs w:val="24"/>
          <w:lang w:eastAsia="ru-RU"/>
        </w:rPr>
        <w:t xml:space="preserve"> – комплекс технических и организационных мероприятий, обеспечивающих в совокупности физическое соединение объектов электросетевого хозяйства сетевой организации, в которую была подана заявка, и объектов заявителя (энергопринимающих устройств), с осуществлением фактической подачи (приема) напряжения и мощности на объекты Заявителя (фиксация коммутационного аппарата в положении «включено»).</w:t>
      </w:r>
      <w:r w:rsidRPr="00D6099B">
        <w:rPr>
          <w:rFonts w:ascii="Times New Roman" w:eastAsia="Times New Roman" w:hAnsi="Times New Roman" w:cs="Times New Roman"/>
          <w:sz w:val="24"/>
          <w:szCs w:val="24"/>
          <w:lang w:eastAsia="ru-RU"/>
        </w:rPr>
        <w:b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621"/>
        <w:gridCol w:w="9584"/>
      </w:tblGrid>
      <w:tr w:rsidR="00D6099B" w:rsidRPr="00D6099B" w:rsidTr="00D6099B">
        <w:trPr>
          <w:tblCellSpacing w:w="7" w:type="dxa"/>
        </w:trPr>
        <w:tc>
          <w:tcPr>
            <w:tcW w:w="600" w:type="dxa"/>
            <w:vAlign w:val="center"/>
            <w:hideMark/>
          </w:tcPr>
          <w:p w:rsidR="00D6099B" w:rsidRPr="00D6099B" w:rsidRDefault="00D6099B" w:rsidP="00D6099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6099B" w:rsidRPr="00D6099B" w:rsidRDefault="00D6099B" w:rsidP="00D6099B">
            <w:pPr>
              <w:spacing w:after="0"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1"/>
                <w:szCs w:val="21"/>
                <w:lang w:eastAsia="ru-RU"/>
              </w:rPr>
              <w:t>Услуга по технологическому присоединению оказывается в случаях:</w:t>
            </w:r>
            <w:r w:rsidRPr="00D6099B">
              <w:rPr>
                <w:rFonts w:ascii="Times New Roman" w:eastAsia="Times New Roman" w:hAnsi="Times New Roman" w:cs="Times New Roman"/>
                <w:color w:val="006699"/>
                <w:sz w:val="24"/>
                <w:szCs w:val="24"/>
                <w:lang w:eastAsia="ru-RU"/>
              </w:rPr>
              <w:t xml:space="preserve"> </w:t>
            </w:r>
          </w:p>
          <w:p w:rsidR="00D6099B" w:rsidRPr="00D6099B" w:rsidRDefault="00D6099B" w:rsidP="00D60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xml:space="preserve">присоединения </w:t>
            </w:r>
            <w:r w:rsidRPr="00D6099B">
              <w:rPr>
                <w:rFonts w:ascii="Times New Roman" w:eastAsia="Times New Roman" w:hAnsi="Times New Roman" w:cs="Times New Roman"/>
                <w:b/>
                <w:bCs/>
                <w:color w:val="003366"/>
                <w:sz w:val="24"/>
                <w:szCs w:val="24"/>
                <w:lang w:eastAsia="ru-RU"/>
              </w:rPr>
              <w:t xml:space="preserve">впервые вводимых </w:t>
            </w:r>
            <w:r w:rsidRPr="00D6099B">
              <w:rPr>
                <w:rFonts w:ascii="Times New Roman" w:eastAsia="Times New Roman" w:hAnsi="Times New Roman" w:cs="Times New Roman"/>
                <w:sz w:val="24"/>
                <w:szCs w:val="24"/>
                <w:lang w:eastAsia="ru-RU"/>
              </w:rPr>
              <w:t>в эксплуатацию</w:t>
            </w:r>
            <w:r w:rsidRPr="00D6099B">
              <w:rPr>
                <w:rFonts w:ascii="Times New Roman" w:eastAsia="Times New Roman" w:hAnsi="Times New Roman" w:cs="Times New Roman"/>
                <w:b/>
                <w:bCs/>
                <w:sz w:val="24"/>
                <w:szCs w:val="24"/>
                <w:lang w:eastAsia="ru-RU"/>
              </w:rPr>
              <w:t xml:space="preserve"> </w:t>
            </w:r>
            <w:r w:rsidRPr="00D6099B">
              <w:rPr>
                <w:rFonts w:ascii="Times New Roman" w:eastAsia="Times New Roman" w:hAnsi="Times New Roman" w:cs="Times New Roman"/>
                <w:b/>
                <w:bCs/>
                <w:color w:val="003366"/>
                <w:sz w:val="24"/>
                <w:szCs w:val="24"/>
                <w:lang w:eastAsia="ru-RU"/>
              </w:rPr>
              <w:t>энергопринимающих устройств</w:t>
            </w:r>
            <w:r w:rsidRPr="00D6099B">
              <w:rPr>
                <w:rFonts w:ascii="Times New Roman" w:eastAsia="Times New Roman" w:hAnsi="Times New Roman" w:cs="Times New Roman"/>
                <w:sz w:val="24"/>
                <w:szCs w:val="24"/>
                <w:lang w:eastAsia="ru-RU"/>
              </w:rPr>
              <w:t xml:space="preserve"> Заявителя;</w:t>
            </w:r>
          </w:p>
          <w:p w:rsidR="00D6099B" w:rsidRPr="00D6099B" w:rsidRDefault="00D6099B" w:rsidP="00D60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xml:space="preserve">ранее присоединенных </w:t>
            </w:r>
            <w:r w:rsidRPr="00D6099B">
              <w:rPr>
                <w:rFonts w:ascii="Times New Roman" w:eastAsia="Times New Roman" w:hAnsi="Times New Roman" w:cs="Times New Roman"/>
                <w:b/>
                <w:bCs/>
                <w:color w:val="003366"/>
                <w:sz w:val="24"/>
                <w:szCs w:val="24"/>
                <w:lang w:eastAsia="ru-RU"/>
              </w:rPr>
              <w:t>реконструируемых энергопринимающих устройств</w:t>
            </w:r>
            <w:r w:rsidRPr="00D6099B">
              <w:rPr>
                <w:rFonts w:ascii="Times New Roman" w:eastAsia="Times New Roman" w:hAnsi="Times New Roman" w:cs="Times New Roman"/>
                <w:sz w:val="24"/>
                <w:szCs w:val="24"/>
                <w:lang w:eastAsia="ru-RU"/>
              </w:rPr>
              <w:t xml:space="preserve">, присоединенная </w:t>
            </w:r>
            <w:r w:rsidRPr="00D6099B">
              <w:rPr>
                <w:rFonts w:ascii="Times New Roman" w:eastAsia="Times New Roman" w:hAnsi="Times New Roman" w:cs="Times New Roman"/>
                <w:b/>
                <w:bCs/>
                <w:color w:val="003366"/>
                <w:sz w:val="24"/>
                <w:szCs w:val="24"/>
                <w:lang w:eastAsia="ru-RU"/>
              </w:rPr>
              <w:t xml:space="preserve">мощность </w:t>
            </w:r>
            <w:r w:rsidRPr="00D6099B">
              <w:rPr>
                <w:rFonts w:ascii="Times New Roman" w:eastAsia="Times New Roman" w:hAnsi="Times New Roman" w:cs="Times New Roman"/>
                <w:sz w:val="24"/>
                <w:szCs w:val="24"/>
                <w:lang w:eastAsia="ru-RU"/>
              </w:rPr>
              <w:t xml:space="preserve">которых </w:t>
            </w:r>
            <w:r w:rsidRPr="00D6099B">
              <w:rPr>
                <w:rFonts w:ascii="Times New Roman" w:eastAsia="Times New Roman" w:hAnsi="Times New Roman" w:cs="Times New Roman"/>
                <w:b/>
                <w:bCs/>
                <w:color w:val="003366"/>
                <w:sz w:val="24"/>
                <w:szCs w:val="24"/>
                <w:lang w:eastAsia="ru-RU"/>
              </w:rPr>
              <w:t>увеличивается</w:t>
            </w:r>
            <w:r w:rsidRPr="00D6099B">
              <w:rPr>
                <w:rFonts w:ascii="Times New Roman" w:eastAsia="Times New Roman" w:hAnsi="Times New Roman" w:cs="Times New Roman"/>
                <w:sz w:val="24"/>
                <w:szCs w:val="24"/>
                <w:lang w:eastAsia="ru-RU"/>
              </w:rPr>
              <w:t>;</w:t>
            </w:r>
          </w:p>
          <w:p w:rsidR="00D6099B" w:rsidRPr="00D6099B" w:rsidRDefault="00D6099B" w:rsidP="00D60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xml:space="preserve">при которых в отношении ранее присоединенных энергопринимающих устройств изменяются </w:t>
            </w:r>
            <w:r w:rsidRPr="00D6099B">
              <w:rPr>
                <w:rFonts w:ascii="Times New Roman" w:eastAsia="Times New Roman" w:hAnsi="Times New Roman" w:cs="Times New Roman"/>
                <w:b/>
                <w:bCs/>
                <w:color w:val="003366"/>
                <w:sz w:val="24"/>
                <w:szCs w:val="24"/>
                <w:lang w:eastAsia="ru-RU"/>
              </w:rPr>
              <w:t>категория надежности электроснабжения</w:t>
            </w:r>
            <w:r w:rsidRPr="00D6099B">
              <w:rPr>
                <w:rFonts w:ascii="Times New Roman" w:eastAsia="Times New Roman" w:hAnsi="Times New Roman" w:cs="Times New Roman"/>
                <w:color w:val="003366"/>
                <w:sz w:val="24"/>
                <w:szCs w:val="24"/>
                <w:lang w:eastAsia="ru-RU"/>
              </w:rPr>
              <w:t xml:space="preserve">, </w:t>
            </w:r>
            <w:r w:rsidRPr="00D6099B">
              <w:rPr>
                <w:rFonts w:ascii="Times New Roman" w:eastAsia="Times New Roman" w:hAnsi="Times New Roman" w:cs="Times New Roman"/>
                <w:b/>
                <w:bCs/>
                <w:color w:val="003366"/>
                <w:sz w:val="24"/>
                <w:szCs w:val="24"/>
                <w:lang w:eastAsia="ru-RU"/>
              </w:rPr>
              <w:t>точки присоединения, виды производственной деятельности</w:t>
            </w:r>
            <w:r w:rsidRPr="00D6099B">
              <w:rPr>
                <w:rFonts w:ascii="Times New Roman" w:eastAsia="Times New Roman" w:hAnsi="Times New Roman" w:cs="Times New Roman"/>
                <w:sz w:val="24"/>
                <w:szCs w:val="24"/>
                <w:lang w:eastAsia="ru-RU"/>
              </w:rPr>
              <w:t xml:space="preserve">, не влекущие пересмотр величины присоединенной мощности, но </w:t>
            </w:r>
            <w:r w:rsidRPr="00D6099B">
              <w:rPr>
                <w:rFonts w:ascii="Times New Roman" w:eastAsia="Times New Roman" w:hAnsi="Times New Roman" w:cs="Times New Roman"/>
                <w:b/>
                <w:bCs/>
                <w:color w:val="003366"/>
                <w:sz w:val="24"/>
                <w:szCs w:val="24"/>
                <w:lang w:eastAsia="ru-RU"/>
              </w:rPr>
              <w:t>изменяющие схему внешнего электроснабжения</w:t>
            </w:r>
            <w:r w:rsidRPr="00D6099B">
              <w:rPr>
                <w:rFonts w:ascii="Times New Roman" w:eastAsia="Times New Roman" w:hAnsi="Times New Roman" w:cs="Times New Roman"/>
                <w:sz w:val="24"/>
                <w:szCs w:val="24"/>
                <w:lang w:eastAsia="ru-RU"/>
              </w:rPr>
              <w:t xml:space="preserve"> таких энергопринимающих устройств.</w:t>
            </w:r>
          </w:p>
        </w:tc>
      </w:tr>
    </w:tbl>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Процедура технологического присоединения включает в себя:</w:t>
      </w:r>
      <w:r w:rsidRPr="00D6099B">
        <w:rPr>
          <w:rFonts w:ascii="Times New Roman" w:eastAsia="Times New Roman" w:hAnsi="Times New Roman" w:cs="Times New Roman"/>
          <w:sz w:val="24"/>
          <w:szCs w:val="24"/>
          <w:lang w:eastAsia="ru-RU"/>
        </w:rPr>
        <w:br/>
      </w:r>
      <w:r w:rsidRPr="00D6099B">
        <w:rPr>
          <w:rFonts w:ascii="Times New Roman" w:eastAsia="Times New Roman" w:hAnsi="Times New Roman" w:cs="Times New Roman"/>
          <w:b/>
          <w:bCs/>
          <w:color w:val="006699"/>
          <w:sz w:val="24"/>
          <w:szCs w:val="24"/>
          <w:lang w:eastAsia="ru-RU"/>
        </w:rPr>
        <w:t>A)</w:t>
      </w:r>
      <w:r w:rsidRPr="00D6099B">
        <w:rPr>
          <w:rFonts w:ascii="Times New Roman" w:eastAsia="Times New Roman" w:hAnsi="Times New Roman" w:cs="Times New Roman"/>
          <w:b/>
          <w:bCs/>
          <w:sz w:val="24"/>
          <w:szCs w:val="24"/>
          <w:lang w:eastAsia="ru-RU"/>
        </w:rPr>
        <w:t xml:space="preserve"> </w:t>
      </w:r>
      <w:r w:rsidRPr="00D6099B">
        <w:rPr>
          <w:rFonts w:ascii="Times New Roman" w:eastAsia="Times New Roman" w:hAnsi="Times New Roman" w:cs="Times New Roman"/>
          <w:b/>
          <w:bCs/>
          <w:color w:val="003366"/>
          <w:sz w:val="24"/>
          <w:szCs w:val="24"/>
          <w:lang w:eastAsia="ru-RU"/>
        </w:rPr>
        <w:t>подача заявки</w:t>
      </w:r>
      <w:r w:rsidRPr="00D6099B">
        <w:rPr>
          <w:rFonts w:ascii="Times New Roman" w:eastAsia="Times New Roman" w:hAnsi="Times New Roman" w:cs="Times New Roman"/>
          <w:sz w:val="24"/>
          <w:szCs w:val="24"/>
          <w:lang w:eastAsia="ru-RU"/>
        </w:rPr>
        <w:t xml:space="preserve"> юридическим или физическим лицом,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Б)</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color w:val="003366"/>
          <w:sz w:val="24"/>
          <w:szCs w:val="24"/>
          <w:lang w:eastAsia="ru-RU"/>
        </w:rPr>
        <w:t>заключение</w:t>
      </w:r>
      <w:r w:rsidRPr="00D6099B">
        <w:rPr>
          <w:rFonts w:ascii="Times New Roman" w:eastAsia="Times New Roman" w:hAnsi="Times New Roman" w:cs="Times New Roman"/>
          <w:color w:val="003366"/>
          <w:sz w:val="24"/>
          <w:szCs w:val="24"/>
          <w:lang w:eastAsia="ru-RU"/>
        </w:rPr>
        <w:t xml:space="preserve"> </w:t>
      </w:r>
      <w:r w:rsidRPr="00D6099B">
        <w:rPr>
          <w:rFonts w:ascii="Times New Roman" w:eastAsia="Times New Roman" w:hAnsi="Times New Roman" w:cs="Times New Roman"/>
          <w:b/>
          <w:bCs/>
          <w:color w:val="003366"/>
          <w:sz w:val="24"/>
          <w:szCs w:val="24"/>
          <w:lang w:eastAsia="ru-RU"/>
        </w:rPr>
        <w:t>договора</w:t>
      </w:r>
      <w:r w:rsidRPr="00D6099B">
        <w:rPr>
          <w:rFonts w:ascii="Times New Roman" w:eastAsia="Times New Roman" w:hAnsi="Times New Roman" w:cs="Times New Roman"/>
          <w:color w:val="003366"/>
          <w:sz w:val="24"/>
          <w:szCs w:val="24"/>
          <w:lang w:eastAsia="ru-RU"/>
        </w:rPr>
        <w:t>;</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В)</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color w:val="003366"/>
          <w:sz w:val="24"/>
          <w:szCs w:val="24"/>
          <w:lang w:eastAsia="ru-RU"/>
        </w:rPr>
        <w:t>выполнение сторонами договора мероприятий</w:t>
      </w:r>
      <w:r w:rsidRPr="00D6099B">
        <w:rPr>
          <w:rFonts w:ascii="Times New Roman" w:eastAsia="Times New Roman" w:hAnsi="Times New Roman" w:cs="Times New Roman"/>
          <w:sz w:val="24"/>
          <w:szCs w:val="24"/>
          <w:lang w:eastAsia="ru-RU"/>
        </w:rPr>
        <w:t>, предусмотренных договором;</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 xml:space="preserve">Г) </w:t>
      </w:r>
      <w:r w:rsidRPr="00D6099B">
        <w:rPr>
          <w:rFonts w:ascii="Times New Roman" w:eastAsia="Times New Roman" w:hAnsi="Times New Roman" w:cs="Times New Roman"/>
          <w:b/>
          <w:bCs/>
          <w:color w:val="003366"/>
          <w:sz w:val="24"/>
          <w:szCs w:val="24"/>
          <w:lang w:eastAsia="ru-RU"/>
        </w:rPr>
        <w:t>получение разрешения</w:t>
      </w:r>
      <w:r w:rsidRPr="00D6099B">
        <w:rPr>
          <w:rFonts w:ascii="Times New Roman" w:eastAsia="Times New Roman" w:hAnsi="Times New Roman" w:cs="Times New Roman"/>
          <w:sz w:val="24"/>
          <w:szCs w:val="24"/>
          <w:lang w:eastAsia="ru-RU"/>
        </w:rPr>
        <w:t xml:space="preserve"> органа федерального государственного энергетического надзора на</w:t>
      </w:r>
      <w:r w:rsidRPr="00D6099B">
        <w:rPr>
          <w:rFonts w:ascii="Times New Roman" w:eastAsia="Times New Roman" w:hAnsi="Times New Roman" w:cs="Times New Roman"/>
          <w:color w:val="003366"/>
          <w:sz w:val="24"/>
          <w:szCs w:val="24"/>
          <w:lang w:eastAsia="ru-RU"/>
        </w:rPr>
        <w:t xml:space="preserve"> </w:t>
      </w:r>
      <w:r w:rsidRPr="00D6099B">
        <w:rPr>
          <w:rFonts w:ascii="Times New Roman" w:eastAsia="Times New Roman" w:hAnsi="Times New Roman" w:cs="Times New Roman"/>
          <w:b/>
          <w:bCs/>
          <w:color w:val="003366"/>
          <w:sz w:val="24"/>
          <w:szCs w:val="24"/>
          <w:lang w:eastAsia="ru-RU"/>
        </w:rPr>
        <w:t>допуск в эксплуатацию</w:t>
      </w:r>
      <w:r w:rsidRPr="00D6099B">
        <w:rPr>
          <w:rFonts w:ascii="Times New Roman" w:eastAsia="Times New Roman" w:hAnsi="Times New Roman" w:cs="Times New Roman"/>
          <w:color w:val="003366"/>
          <w:sz w:val="24"/>
          <w:szCs w:val="24"/>
          <w:lang w:eastAsia="ru-RU"/>
        </w:rPr>
        <w:t xml:space="preserve"> </w:t>
      </w:r>
      <w:r w:rsidRPr="00D6099B">
        <w:rPr>
          <w:rFonts w:ascii="Times New Roman" w:eastAsia="Times New Roman" w:hAnsi="Times New Roman" w:cs="Times New Roman"/>
          <w:sz w:val="24"/>
          <w:szCs w:val="24"/>
          <w:lang w:eastAsia="ru-RU"/>
        </w:rPr>
        <w:t>объектов заявителя</w:t>
      </w:r>
      <w:hyperlink r:id="rId5" w:anchor="1_star" w:history="1">
        <w:r w:rsidRPr="00D6099B">
          <w:rPr>
            <w:rFonts w:ascii="Times New Roman" w:eastAsia="Times New Roman" w:hAnsi="Times New Roman" w:cs="Times New Roman"/>
            <w:b/>
            <w:bCs/>
            <w:color w:val="0000FF"/>
            <w:sz w:val="24"/>
            <w:szCs w:val="24"/>
            <w:u w:val="single"/>
            <w:lang w:eastAsia="ru-RU"/>
          </w:rPr>
          <w:t>*</w:t>
        </w:r>
      </w:hyperlink>
      <w:r w:rsidRPr="00D6099B">
        <w:rPr>
          <w:rFonts w:ascii="Times New Roman" w:eastAsia="Times New Roman" w:hAnsi="Times New Roman" w:cs="Times New Roman"/>
          <w:sz w:val="24"/>
          <w:szCs w:val="24"/>
          <w:lang w:eastAsia="ru-RU"/>
        </w:rPr>
        <w:t>.</w:t>
      </w:r>
    </w:p>
    <w:p w:rsidR="00D6099B" w:rsidRPr="00D6099B" w:rsidRDefault="00D6099B" w:rsidP="00D609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Г.1)</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color w:val="003366"/>
          <w:sz w:val="24"/>
          <w:szCs w:val="24"/>
          <w:lang w:eastAsia="ru-RU"/>
        </w:rPr>
        <w:t>осуществление сетевой организацией фактического присоединения объектов заявителя к электрическим сетям</w:t>
      </w:r>
      <w:r w:rsidRPr="00D6099B">
        <w:rPr>
          <w:rFonts w:ascii="Times New Roman" w:eastAsia="Times New Roman" w:hAnsi="Times New Roman" w:cs="Times New Roman"/>
          <w:color w:val="003366"/>
          <w:sz w:val="24"/>
          <w:szCs w:val="24"/>
          <w:lang w:eastAsia="ru-RU"/>
        </w:rPr>
        <w:t>.</w:t>
      </w:r>
      <w:r w:rsidRPr="00D6099B">
        <w:rPr>
          <w:rFonts w:ascii="Times New Roman" w:eastAsia="Times New Roman" w:hAnsi="Times New Roman" w:cs="Times New Roman"/>
          <w:sz w:val="24"/>
          <w:szCs w:val="24"/>
          <w:lang w:eastAsia="ru-RU"/>
        </w:rPr>
        <w:t xml:space="preserve"> При этом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D6099B" w:rsidRPr="00D6099B" w:rsidRDefault="00D6099B" w:rsidP="00D609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t>Г.2)</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color w:val="003366"/>
          <w:sz w:val="24"/>
          <w:szCs w:val="24"/>
          <w:lang w:eastAsia="ru-RU"/>
        </w:rPr>
        <w:t>фактический прием (подача) напряжения и мощности</w:t>
      </w:r>
      <w:r w:rsidRPr="00D6099B">
        <w:rPr>
          <w:rFonts w:ascii="Times New Roman" w:eastAsia="Times New Roman" w:hAnsi="Times New Roman" w:cs="Times New Roman"/>
          <w:sz w:val="24"/>
          <w:szCs w:val="24"/>
          <w:lang w:eastAsia="ru-RU"/>
        </w:rPr>
        <w:t>, осуществляемый путем включения коммутационного аппарата (фиксация коммутационного аппарата в положении «включено»);</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b/>
          <w:bCs/>
          <w:color w:val="006699"/>
          <w:sz w:val="24"/>
          <w:szCs w:val="24"/>
          <w:lang w:eastAsia="ru-RU"/>
        </w:rPr>
        <w:lastRenderedPageBreak/>
        <w:t xml:space="preserve">Д) </w:t>
      </w:r>
      <w:r w:rsidRPr="00D6099B">
        <w:rPr>
          <w:rFonts w:ascii="Times New Roman" w:eastAsia="Times New Roman" w:hAnsi="Times New Roman" w:cs="Times New Roman"/>
          <w:b/>
          <w:bCs/>
          <w:color w:val="003366"/>
          <w:sz w:val="24"/>
          <w:szCs w:val="24"/>
          <w:lang w:eastAsia="ru-RU"/>
        </w:rPr>
        <w:t xml:space="preserve">составление актов: </w:t>
      </w:r>
      <w:r w:rsidRPr="00D6099B">
        <w:rPr>
          <w:rFonts w:ascii="Times New Roman" w:eastAsia="Times New Roman" w:hAnsi="Times New Roman" w:cs="Times New Roman"/>
          <w:sz w:val="24"/>
          <w:szCs w:val="24"/>
          <w:lang w:eastAsia="ru-RU"/>
        </w:rPr>
        <w:t>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w:t>
      </w:r>
      <w:hyperlink r:id="rId6" w:anchor="2_star" w:history="1">
        <w:r w:rsidRPr="00D6099B">
          <w:rPr>
            <w:rFonts w:ascii="Times New Roman" w:eastAsia="Times New Roman" w:hAnsi="Times New Roman" w:cs="Times New Roman"/>
            <w:b/>
            <w:bCs/>
            <w:color w:val="0000FF"/>
            <w:sz w:val="24"/>
            <w:szCs w:val="24"/>
            <w:u w:val="single"/>
            <w:lang w:eastAsia="ru-RU"/>
          </w:rPr>
          <w:t>**</w:t>
        </w:r>
      </w:hyperlink>
      <w:r w:rsidRPr="00D6099B">
        <w:rPr>
          <w:rFonts w:ascii="Times New Roman" w:eastAsia="Times New Roman" w:hAnsi="Times New Roman" w:cs="Times New Roman"/>
          <w:sz w:val="24"/>
          <w:szCs w:val="24"/>
          <w:lang w:eastAsia="ru-RU"/>
        </w:rPr>
        <w:t xml:space="preserve"> которых определены в Правилах полного и (или) частичного ограничения режима потребления электрической энергии.</w:t>
      </w:r>
    </w:p>
    <w:p w:rsidR="00D6099B" w:rsidRPr="00D6099B" w:rsidRDefault="00D6099B" w:rsidP="00D6099B">
      <w:pPr>
        <w:spacing w:after="0"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w:t>
      </w:r>
      <w:bookmarkStart w:id="0" w:name="_GoBack"/>
      <w:bookmarkEnd w:id="0"/>
    </w:p>
    <w:p w:rsidR="00D6099B" w:rsidRPr="00D6099B" w:rsidRDefault="00D6099B" w:rsidP="00D6099B">
      <w:pPr>
        <w:spacing w:after="0" w:line="240" w:lineRule="auto"/>
        <w:rPr>
          <w:rFonts w:ascii="Times New Roman" w:eastAsia="Times New Roman" w:hAnsi="Times New Roman" w:cs="Times New Roman"/>
          <w:sz w:val="24"/>
          <w:szCs w:val="24"/>
          <w:lang w:eastAsia="ru-RU"/>
        </w:rPr>
      </w:pPr>
      <w:bookmarkStart w:id="1" w:name="1_star"/>
      <w:bookmarkEnd w:id="1"/>
      <w:r w:rsidRPr="00D6099B">
        <w:rPr>
          <w:rFonts w:ascii="Times New Roman" w:eastAsia="Times New Roman" w:hAnsi="Times New Roman" w:cs="Times New Roman"/>
          <w:b/>
          <w:bCs/>
          <w:sz w:val="24"/>
          <w:szCs w:val="24"/>
          <w:lang w:eastAsia="ru-RU"/>
        </w:rPr>
        <w:t>*</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sz w:val="24"/>
          <w:szCs w:val="24"/>
          <w:lang w:eastAsia="ru-RU"/>
        </w:rPr>
        <w:t>За исключением</w:t>
      </w:r>
      <w:r w:rsidRPr="00D6099B">
        <w:rPr>
          <w:rFonts w:ascii="Times New Roman" w:eastAsia="Times New Roman" w:hAnsi="Times New Roman" w:cs="Times New Roman"/>
          <w:sz w:val="24"/>
          <w:szCs w:val="24"/>
          <w:lang w:eastAsia="ru-RU"/>
        </w:rPr>
        <w:t xml:space="preserve"> объектов заявителей, юридических лиц или индивидуальных предпринимателей, максимальная мощность энергопринимающих устройств которых составляет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а так же заявителей осуществляющие технологическое присоединение по временной схеме. Указанные исключения не распространяются на случаи технологического присоединения объектов сетевых организаций. </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 </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bookmarkStart w:id="2" w:name="2_star"/>
      <w:bookmarkEnd w:id="2"/>
      <w:r w:rsidRPr="00D6099B">
        <w:rPr>
          <w:rFonts w:ascii="Times New Roman" w:eastAsia="Times New Roman" w:hAnsi="Times New Roman" w:cs="Times New Roman"/>
          <w:b/>
          <w:bCs/>
          <w:sz w:val="24"/>
          <w:szCs w:val="24"/>
          <w:lang w:eastAsia="ru-RU"/>
        </w:rPr>
        <w:t>**</w:t>
      </w:r>
      <w:r w:rsidRPr="00D6099B">
        <w:rPr>
          <w:rFonts w:ascii="Times New Roman" w:eastAsia="Times New Roman" w:hAnsi="Times New Roman" w:cs="Times New Roman"/>
          <w:sz w:val="24"/>
          <w:szCs w:val="24"/>
          <w:lang w:eastAsia="ru-RU"/>
        </w:rPr>
        <w:t xml:space="preserve"> </w:t>
      </w:r>
      <w:r w:rsidRPr="00D6099B">
        <w:rPr>
          <w:rFonts w:ascii="Times New Roman" w:eastAsia="Times New Roman" w:hAnsi="Times New Roman" w:cs="Times New Roman"/>
          <w:b/>
          <w:bCs/>
          <w:sz w:val="24"/>
          <w:szCs w:val="24"/>
          <w:lang w:eastAsia="ru-RU"/>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p>
    <w:p w:rsidR="00D6099B" w:rsidRPr="00D6099B" w:rsidRDefault="00D6099B" w:rsidP="00D6099B">
      <w:pPr>
        <w:spacing w:before="100" w:beforeAutospacing="1" w:after="100" w:afterAutospacing="1" w:line="240" w:lineRule="auto"/>
        <w:rPr>
          <w:rFonts w:ascii="Times New Roman" w:eastAsia="Times New Roman" w:hAnsi="Times New Roman" w:cs="Times New Roman"/>
          <w:sz w:val="24"/>
          <w:szCs w:val="24"/>
          <w:lang w:eastAsia="ru-RU"/>
        </w:rPr>
      </w:pPr>
      <w:r w:rsidRPr="00D6099B">
        <w:rPr>
          <w:rFonts w:ascii="Times New Roman" w:eastAsia="Times New Roman" w:hAnsi="Times New Roman" w:cs="Times New Roman"/>
          <w:sz w:val="24"/>
          <w:szCs w:val="24"/>
          <w:lang w:eastAsia="ru-RU"/>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r w:rsidRPr="00D6099B">
        <w:rPr>
          <w:rFonts w:ascii="Times New Roman" w:eastAsia="Times New Roman" w:hAnsi="Times New Roman" w:cs="Times New Roman"/>
          <w:sz w:val="24"/>
          <w:szCs w:val="24"/>
          <w:lang w:eastAsia="ru-RU"/>
        </w:rPr>
        <w:b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r w:rsidRPr="00D6099B">
        <w:rPr>
          <w:rFonts w:ascii="Times New Roman" w:eastAsia="Times New Roman" w:hAnsi="Times New Roman" w:cs="Times New Roman"/>
          <w:sz w:val="24"/>
          <w:szCs w:val="24"/>
          <w:lang w:eastAsia="ru-RU"/>
        </w:rPr>
        <w:b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r w:rsidRPr="00D6099B">
        <w:rPr>
          <w:rFonts w:ascii="Times New Roman" w:eastAsia="Times New Roman" w:hAnsi="Times New Roman" w:cs="Times New Roman"/>
          <w:sz w:val="24"/>
          <w:szCs w:val="24"/>
          <w:lang w:eastAsia="ru-RU"/>
        </w:rPr>
        <w:b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r w:rsidRPr="00D6099B">
        <w:rPr>
          <w:rFonts w:ascii="Times New Roman" w:eastAsia="Times New Roman" w:hAnsi="Times New Roman" w:cs="Times New Roman"/>
          <w:sz w:val="24"/>
          <w:szCs w:val="24"/>
          <w:lang w:eastAsia="ru-RU"/>
        </w:rPr>
        <w:b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r w:rsidRPr="00D6099B">
        <w:rPr>
          <w:rFonts w:ascii="Times New Roman" w:eastAsia="Times New Roman" w:hAnsi="Times New Roman" w:cs="Times New Roman"/>
          <w:sz w:val="24"/>
          <w:szCs w:val="24"/>
          <w:lang w:eastAsia="ru-RU"/>
        </w:rPr>
        <w:br/>
        <w:t>6. Федеральные ядерные центры и объекты, работающие с ядерным топливом и материалами.</w:t>
      </w:r>
      <w:r w:rsidRPr="00D6099B">
        <w:rPr>
          <w:rFonts w:ascii="Times New Roman" w:eastAsia="Times New Roman" w:hAnsi="Times New Roman" w:cs="Times New Roman"/>
          <w:sz w:val="24"/>
          <w:szCs w:val="24"/>
          <w:lang w:eastAsia="ru-RU"/>
        </w:rPr>
        <w:b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r w:rsidRPr="00D6099B">
        <w:rPr>
          <w:rFonts w:ascii="Times New Roman" w:eastAsia="Times New Roman" w:hAnsi="Times New Roman" w:cs="Times New Roman"/>
          <w:sz w:val="24"/>
          <w:szCs w:val="24"/>
          <w:lang w:eastAsia="ru-RU"/>
        </w:rPr>
        <w:b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w:t>
      </w:r>
      <w:r w:rsidRPr="00D6099B">
        <w:rPr>
          <w:rFonts w:ascii="Times New Roman" w:eastAsia="Times New Roman" w:hAnsi="Times New Roman" w:cs="Times New Roman"/>
          <w:sz w:val="24"/>
          <w:szCs w:val="24"/>
          <w:lang w:eastAsia="ru-RU"/>
        </w:rPr>
        <w:lastRenderedPageBreak/>
        <w:t>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47499" w:rsidRDefault="00747499"/>
    <w:sectPr w:rsidR="00747499" w:rsidSect="00D6099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7FA7"/>
    <w:multiLevelType w:val="multilevel"/>
    <w:tmpl w:val="D64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B24F3"/>
    <w:multiLevelType w:val="multilevel"/>
    <w:tmpl w:val="8612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E1"/>
    <w:rsid w:val="004674E1"/>
    <w:rsid w:val="00747499"/>
    <w:rsid w:val="00D6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CF77-630B-498F-9619-6E8AE807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6717">
      <w:bodyDiv w:val="1"/>
      <w:marLeft w:val="0"/>
      <w:marRight w:val="0"/>
      <w:marTop w:val="0"/>
      <w:marBottom w:val="0"/>
      <w:divBdr>
        <w:top w:val="none" w:sz="0" w:space="0" w:color="auto"/>
        <w:left w:val="none" w:sz="0" w:space="0" w:color="auto"/>
        <w:bottom w:val="none" w:sz="0" w:space="0" w:color="auto"/>
        <w:right w:val="none" w:sz="0" w:space="0" w:color="auto"/>
      </w:divBdr>
      <w:divsChild>
        <w:div w:id="655185045">
          <w:marLeft w:val="0"/>
          <w:marRight w:val="0"/>
          <w:marTop w:val="0"/>
          <w:marBottom w:val="0"/>
          <w:divBdr>
            <w:top w:val="none" w:sz="0" w:space="0" w:color="auto"/>
            <w:left w:val="none" w:sz="0" w:space="0" w:color="auto"/>
            <w:bottom w:val="single" w:sz="24" w:space="0" w:color="24428F"/>
            <w:right w:val="none" w:sz="0" w:space="0" w:color="auto"/>
          </w:divBdr>
        </w:div>
        <w:div w:id="173712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mrsksevzap.ru/gc_commoninfo" TargetMode="External"/><Relationship Id="rId5" Type="http://schemas.openxmlformats.org/officeDocument/2006/relationships/hyperlink" Target="https://clients.mrsksevzap.ru/gc_common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939</Words>
  <Characters>5356</Characters>
  <Application>Microsoft Office Word</Application>
  <DocSecurity>0</DocSecurity>
  <Lines>44</Lines>
  <Paragraphs>12</Paragraphs>
  <ScaleCrop>false</ScaleCrop>
  <Company>diakov.net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2017-06-08T19:04:00Z</dcterms:created>
  <dcterms:modified xsi:type="dcterms:W3CDTF">2017-06-08T19:08:00Z</dcterms:modified>
</cp:coreProperties>
</file>